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rFonts w:ascii="Inter Medium" w:cs="Inter Medium" w:eastAsia="Inter Medium" w:hAnsi="Inter Medium"/>
          <w:sz w:val="44"/>
          <w:szCs w:val="44"/>
        </w:rPr>
      </w:pPr>
      <w:bookmarkStart w:colFirst="0" w:colLast="0" w:name="_jh6y2z1dwank" w:id="0"/>
      <w:bookmarkEnd w:id="0"/>
      <w:r w:rsidDel="00000000" w:rsidR="00000000" w:rsidRPr="00000000">
        <w:rPr>
          <w:rFonts w:ascii="Inter Medium" w:cs="Inter Medium" w:eastAsia="Inter Medium" w:hAnsi="Inter Medium"/>
          <w:sz w:val="44"/>
          <w:szCs w:val="44"/>
          <w:rtl w:val="0"/>
        </w:rPr>
        <w:t xml:space="preserve">One-page strategic plan template</w:t>
      </w:r>
    </w:p>
    <w:tbl>
      <w:tblPr>
        <w:tblStyle w:val="Table1"/>
        <w:tblW w:w="9360.0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SUMMARY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Inter" w:cs="Inter" w:eastAsia="Inter" w:hAnsi="Inter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VISION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MISSION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KEY PERFORMANCE INDICATORS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Inter" w:cs="Inter" w:eastAsia="Inter" w:hAnsi="Inter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SWOT ANALYSIS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STRENGTHS</w:t>
            </w:r>
          </w:p>
        </w:tc>
        <w:tc>
          <w:tcPr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WEAKNESSES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OPPORTUNITIES</w:t>
            </w:r>
          </w:p>
        </w:tc>
        <w:tc>
          <w:tcPr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THREATS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OPERATIONS PLAN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FINANCIAL PROJECTIONS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RISKS</w:t>
            </w:r>
          </w:p>
        </w:tc>
      </w:tr>
      <w:tr>
        <w:trPr>
          <w:cantSplit w:val="0"/>
          <w:trHeight w:val="657.978515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TEAM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jc w:val="left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jc w:val="center"/>
      <w:rPr/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/>
      <w:drawing>
        <wp:inline distB="114300" distT="114300" distL="114300" distR="114300">
          <wp:extent cx="890588" cy="293894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49" r="49" t="0"/>
                  <a:stretch>
                    <a:fillRect/>
                  </a:stretch>
                </pic:blipFill>
                <pic:spPr>
                  <a:xfrm>
                    <a:off x="0" y="0"/>
                    <a:ext cx="890588" cy="2938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app.plaky.com/signu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