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8223A"/>
  <w:body>
    <w:p w:rsidR="00000000" w:rsidDel="00000000" w:rsidP="00000000" w:rsidRDefault="00000000" w:rsidRPr="00000000" w14:paraId="00000001">
      <w:pPr>
        <w:spacing w:after="200" w:lineRule="auto"/>
        <w:jc w:val="left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2505"/>
        <w:gridCol w:w="6840"/>
        <w:tblGridChange w:id="0">
          <w:tblGrid>
            <w:gridCol w:w="2505"/>
            <w:gridCol w:w="68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30"/>
                <w:szCs w:val="30"/>
                <w:rtl w:val="0"/>
              </w:rPr>
              <w:t xml:space="preserve">NEW EMPLOYEE PERFORMANCE REVIEW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  <w:right w:color="81abff" w:space="0" w:sz="12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Employee name </w:t>
            </w:r>
          </w:p>
        </w:tc>
        <w:tc>
          <w:tcPr>
            <w:tcBorders>
              <w:top w:color="81abff" w:space="0" w:sz="12" w:val="single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Position </w:t>
            </w:r>
          </w:p>
        </w:tc>
        <w:tc>
          <w:tcPr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Start of employment </w:t>
            </w:r>
          </w:p>
        </w:tc>
        <w:tc>
          <w:tcPr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Reviewer</w:t>
            </w:r>
          </w:p>
        </w:tc>
        <w:tc>
          <w:tcPr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Date of review</w:t>
            </w:r>
          </w:p>
        </w:tc>
        <w:tc>
          <w:tcPr>
            <w:tcBorders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Has the employee finished onboarding successfully?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How is the employee fitting in with the team?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.6494140625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Is the employee punctual and respects deadlines?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.6494140625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Does the employee show willingness to learn and develop their skills?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Give an example of a situation where the employee showed initiative.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1abff" w:space="0" w:sz="12" w:val="single"/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Areas for improvement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left w:color="81abff" w:space="0" w:sz="12" w:val="single"/>
              <w:bottom w:color="81abff" w:space="0" w:sz="12" w:val="dashed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Reviewer’s comments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81abff" w:space="0" w:sz="12" w:val="dashed"/>
              <w:left w:color="81abff" w:space="0" w:sz="12" w:val="single"/>
              <w:bottom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00" w:lineRule="auto"/>
        <w:jc w:val="right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 processes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.</w:t>
      </w: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 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76313" cy="32074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3207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cmN8beBUwLe1hW9h4MsIfMemA==">CgMxLjA4AHIhMVRsb3Z4LW1uSG9LUkVhb1ZtdlUxVzFBLWRJWlRQNFk1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