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02.4410540915395"/>
        <w:gridCol w:w="1661.6920943134533"/>
        <w:gridCol w:w="3738.8072122052704"/>
        <w:gridCol w:w="3557.0596393897363"/>
        <w:tblGridChange w:id="0">
          <w:tblGrid>
            <w:gridCol w:w="402.4410540915395"/>
            <w:gridCol w:w="1661.6920943134533"/>
            <w:gridCol w:w="3738.8072122052704"/>
            <w:gridCol w:w="3557.0596393897363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4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6"/>
                <w:szCs w:val="46"/>
                <w:rtl w:val="0"/>
              </w:rPr>
              <w:t xml:space="preserve">SIMPLE CHANGE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rtl w:val="0"/>
              </w:rPr>
              <w:t xml:space="preserve">FUTURE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restart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190500" cy="1616676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-457200" y="1425675"/>
                                <a:ext cx="2969100" cy="33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Inter" w:cs="Inter" w:eastAsia="Inter" w:hAnsi="Inter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Areas for change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616676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166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FINANCIAL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[E.g. Inconsistent cash flow.]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ffffff"/>
                <w:sz w:val="20"/>
                <w:szCs w:val="20"/>
                <w:rtl w:val="0"/>
              </w:rPr>
              <w:t xml:space="preserve">[E.g. Constantly making money.]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CUSTOMERS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PRODUCT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LOCATIONS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EMPLOYEES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continue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CULTURE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42278" cy="3095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278" cy="309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